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 w:before="0" w:line="300" w:lineRule="auto"/>
        <w:jc w:val="left"/>
      </w:pPr>
      <w:r>
        <w:rPr>
          <w:rFonts w:ascii="Calibri" w:hAnsi="Calibri" w:eastAsia="Calibri"/>
          <w:b/>
          <w:color w:val="1E3A5F"/>
          <w:sz w:val="46"/>
        </w:rPr>
        <w:t>Off-Licence Takeover Checklist</w:t>
      </w:r>
    </w:p>
    <w:p>
      <w:pPr>
        <w:spacing w:after="200" w:before="0" w:line="300" w:lineRule="auto"/>
      </w:pPr>
      <w:r>
        <w:rPr>
          <w:rFonts w:ascii="Calibri" w:hAnsi="Calibri" w:eastAsia="Calibri"/>
          <w:b w:val="0"/>
          <w:color w:val="5A6478"/>
          <w:sz w:val="22"/>
        </w:rPr>
        <w:t>For new owners, established owners and anyone taking over a convenience store or off-licence.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/>
                <w:color w:val="1E3A5F"/>
                <w:sz w:val="19"/>
              </w:rPr>
              <w:t xml:space="preserve">Business / shop name: </w:t>
            </w:r>
            <w:r>
              <w:rPr>
                <w:rFonts w:ascii="Calibri" w:hAnsi="Calibri" w:eastAsia="Calibri"/>
                <w:b w:val="0"/>
                <w:color w:val="5A6478"/>
                <w:sz w:val="19"/>
              </w:rPr>
              <w:t>________________________________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/>
                <w:color w:val="1E3A5F"/>
                <w:sz w:val="19"/>
              </w:rPr>
              <w:t xml:space="preserve">Address: </w:t>
            </w:r>
            <w:r>
              <w:rPr>
                <w:rFonts w:ascii="Calibri" w:hAnsi="Calibri" w:eastAsia="Calibri"/>
                <w:b w:val="0"/>
                <w:color w:val="5A6478"/>
                <w:sz w:val="19"/>
              </w:rPr>
              <w:t>________________________________</w:t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/>
                <w:color w:val="1E3A5F"/>
                <w:sz w:val="19"/>
              </w:rPr>
              <w:t xml:space="preserve">Owner / manager: </w:t>
            </w:r>
            <w:r>
              <w:rPr>
                <w:rFonts w:ascii="Calibri" w:hAnsi="Calibri" w:eastAsia="Calibri"/>
                <w:b w:val="0"/>
                <w:color w:val="5A6478"/>
                <w:sz w:val="19"/>
              </w:rPr>
              <w:t>________________________________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/>
                <w:color w:val="1E3A5F"/>
                <w:sz w:val="19"/>
              </w:rPr>
              <w:t xml:space="preserve">Takeover or review date: </w:t>
            </w:r>
            <w:r>
              <w:rPr>
                <w:rFonts w:ascii="Calibri" w:hAnsi="Calibri" w:eastAsia="Calibri"/>
                <w:b w:val="0"/>
                <w:color w:val="5A6478"/>
                <w:sz w:val="19"/>
              </w:rPr>
              <w:t>________________________________</w:t>
            </w:r>
          </w:p>
        </w:tc>
      </w:tr>
    </w:tbl>
    <w:p>
      <w:pPr>
        <w:spacing w:after="80" w:before="280" w:line="300" w:lineRule="auto"/>
      </w:pPr>
      <w:r>
        <w:rPr>
          <w:rFonts w:ascii="Calibri" w:hAnsi="Calibri" w:eastAsia="Calibri"/>
          <w:b/>
          <w:color w:val="1E3A5F"/>
          <w:sz w:val="26"/>
        </w:rPr>
        <w:t>Legal and compliance</w:t>
      </w:r>
    </w:p>
    <w:p>
      <w:pPr>
        <w:spacing w:after="100" w:before="0" w:line="300" w:lineRule="auto"/>
      </w:pPr>
      <w:r>
        <w:rPr>
          <w:rFonts w:ascii="Calibri" w:hAnsi="Calibri" w:eastAsia="Calibri"/>
          <w:b w:val="0"/>
          <w:color w:val="5A6478"/>
          <w:sz w:val="19"/>
        </w:rPr>
        <w:t>Confirm the position with the relevant local authority or qualified adviser before you trade.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720"/>
        <w:gridCol w:w="8640"/>
      </w:tblGrid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Confirm the premises licence and designated premises supervisor (DPS) position.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Register the food business with the local authority at the required time.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Check alcohol suppliers on HMRC's AWRS register and keep their URNs.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Set up age-verification, staff training and a refusals process.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Review fire safety, health and safety, CCTV and data-protection responsibilities.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Arrange employers' liability insurance before any employee starts work.</w:t>
            </w:r>
          </w:p>
        </w:tc>
      </w:tr>
    </w:tbl>
    <w:p>
      <w:pPr>
        <w:spacing w:after="80" w:before="280" w:line="300" w:lineRule="auto"/>
      </w:pPr>
      <w:r>
        <w:rPr>
          <w:rFonts w:ascii="Calibri" w:hAnsi="Calibri" w:eastAsia="Calibri"/>
          <w:b/>
          <w:color w:val="1E3A5F"/>
          <w:sz w:val="26"/>
        </w:rPr>
        <w:t>Handover from the previous owner</w:t>
      </w:r>
    </w:p>
    <w:p>
      <w:pPr>
        <w:spacing w:after="100" w:before="0" w:line="300" w:lineRule="auto"/>
      </w:pPr>
      <w:r>
        <w:rPr>
          <w:rFonts w:ascii="Calibri" w:hAnsi="Calibri" w:eastAsia="Calibri"/>
          <w:b w:val="0"/>
          <w:color w:val="5A6478"/>
          <w:sz w:val="19"/>
        </w:rPr>
        <w:t>Do these checks before completion where possible, then repeat them during the first week.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720"/>
        <w:gridCol w:w="8640"/>
      </w:tblGrid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Get a written list of services, providers, account numbers, renewal dates and monthly costs.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Confirm which contracts can transfer and which need a new application.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Get written confirmation of cancelled, expired or unused services.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Collect keys, alarm codes, EPOS logins, CCTV access, supplier portals and meter details.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Check stock invoices, credit terms, delivery schedules and alcohol traceability.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Test fridges, freezers, payments, EPOS, broadband, CCTV, alarms, water and waste collection.</w:t>
            </w:r>
          </w:p>
        </w:tc>
      </w:tr>
    </w:tbl>
    <w:p>
      <w:pPr>
        <w:spacing w:after="80" w:before="280" w:line="300" w:lineRule="auto"/>
      </w:pPr>
      <w:r>
        <w:rPr>
          <w:rFonts w:ascii="Calibri" w:hAnsi="Calibri" w:eastAsia="Calibri"/>
          <w:b/>
          <w:color w:val="1E3A5F"/>
          <w:sz w:val="26"/>
        </w:rPr>
        <w:t>Core operating services</w:t>
      </w:r>
    </w:p>
    <w:p>
      <w:pPr>
        <w:spacing w:after="100" w:before="0" w:line="300" w:lineRule="auto"/>
      </w:pPr>
      <w:r>
        <w:rPr>
          <w:rFonts w:ascii="Calibri" w:hAnsi="Calibri" w:eastAsia="Calibri"/>
          <w:b w:val="0"/>
          <w:color w:val="5A6478"/>
          <w:sz w:val="19"/>
        </w:rPr>
        <w:t>Make sure each service has the right account holder, contract status and emergency support.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720"/>
        <w:gridCol w:w="8640"/>
      </w:tblGrid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Record energy supplier, meter details, contract end date and opening readings.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Check refrigeration service history, maintenance cover and emergency call-out details.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Review card-processing rates, terminal rental, settlement timing and PCI requirements.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Confirm broadband owner, router access, secure Wi-Fi and a fallback plan.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Confirm trade-waste collection, recycling arrangements and bin ownership.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Check CCTV settings, alarm monitoring, shutters and keyholder details.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Review suitable premises, stock, public liability, interruption, equipment and cash cover.</w:t>
            </w:r>
          </w:p>
        </w:tc>
      </w:tr>
    </w:tbl>
    <w:p>
      <w:pPr>
        <w:spacing w:after="80" w:before="280" w:line="300" w:lineRule="auto"/>
      </w:pPr>
      <w:r>
        <w:rPr>
          <w:rFonts w:ascii="Calibri" w:hAnsi="Calibri" w:eastAsia="Calibri"/>
          <w:b/>
          <w:color w:val="1E3A5F"/>
          <w:sz w:val="26"/>
        </w:rPr>
        <w:t>Stock, cash and staff controls</w:t>
      </w:r>
    </w:p>
    <w:p>
      <w:pPr>
        <w:spacing w:after="100" w:before="0" w:line="300" w:lineRule="auto"/>
      </w:pPr>
      <w:r>
        <w:rPr>
          <w:rFonts w:ascii="Calibri" w:hAnsi="Calibri" w:eastAsia="Calibri"/>
          <w:b w:val="0"/>
          <w:color w:val="5A6478"/>
          <w:sz w:val="19"/>
        </w:rPr>
        <w:t>Keep controls simple enough for all staff to use consistently.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720"/>
        <w:gridCol w:w="8640"/>
      </w:tblGrid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Set a clear till, refund and cash-banking process.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Limit access to cash, tobacco, high-value stock and supplier accounts.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Set routine till reconciliation and discrepancy checks.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Organise delivery notes, invoices, alcohol checks and traceability records.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Train staff on age checks, food hygiene, incidents, refusals and emergency contacts.</w:t>
            </w:r>
          </w:p>
        </w:tc>
      </w:tr>
      <w:tr>
        <w:trPr>
          <w:trHeight w:hRule="atLeast" w:val="518"/>
        </w:trPr>
        <w:tc>
          <w:tcPr>
            <w:tcW w:type="dxa" w:w="720"/>
          </w:tcPr>
          <w:p>
            <w:pPr>
              <w:spacing w:after="0" w:before="0" w:line="300" w:lineRule="auto"/>
              <w:jc w:val="center"/>
            </w:pPr>
            <w:sdt>
              <w:sdtPr>
                <w:alias w:val="Checklist item"/>
              </w:sdtPr>
              <w:sdtContent>
                <w:r>
                  <w:t>[ ]</w:t>
                </w:r>
              </w:sdtContent>
            </w:sdt>
          </w:p>
        </w:tc>
        <w:tc>
          <w:tcPr>
            <w:tcW w:type="dxa" w:w="8640"/>
          </w:tcPr>
          <w:p>
            <w:pPr>
              <w:spacing w:after="0" w:before="0" w:line="300" w:lineRule="auto"/>
            </w:pPr>
            <w:r>
              <w:rPr>
                <w:rFonts w:ascii="Calibri" w:hAnsi="Calibri" w:eastAsia="Calibri"/>
                <w:b w:val="0"/>
                <w:color w:val="1A1A2E"/>
                <w:sz w:val="20"/>
              </w:rPr>
              <w:t>Review stock rotation, wastage, theft and refrigeration temperatures.</w:t>
            </w:r>
          </w:p>
        </w:tc>
      </w:tr>
    </w:tbl>
    <w:p>
      <w:pPr>
        <w:spacing w:after="80" w:before="240" w:line="300" w:lineRule="auto"/>
      </w:pPr>
      <w:r>
        <w:rPr>
          <w:rFonts w:ascii="Calibri" w:hAnsi="Calibri" w:eastAsia="Calibri"/>
          <w:b/>
          <w:color w:val="1E3A5F"/>
          <w:sz w:val="19"/>
        </w:rPr>
        <w:t xml:space="preserve">Useful Aarubi pages: </w:t>
      </w:r>
      <w:r>
        <w:rPr>
          <w:rFonts w:ascii="Calibri" w:hAnsi="Calibri" w:eastAsia="Calibri"/>
          <w:b w:val="0"/>
          <w:color w:val="5A6478"/>
          <w:sz w:val="19"/>
        </w:rPr>
        <w:t>aarubi.co.uk/compare | aarubi.co.uk/tools/energy | aarubi.co.uk/statement-analyser | aarubi.co.uk/business/insurance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b w:val="0"/>
        <w:color w:val="5A6478"/>
        <w:sz w:val="16"/>
      </w:rPr>
      <w:t>General guidance only. Confirm requirements with the relevant authority or qualified adviser.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 w:eastAsia="Calibri"/>
        <w:b/>
        <w:color w:val="5A6478"/>
        <w:sz w:val="17"/>
      </w:rPr>
      <w:t>AARUBI | OFF-LICENCE TAKEOVER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